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bidi w:val="0"/>
        <w:spacing w:before="240" w:after="120"/>
        <w:jc w:val="left"/>
        <w:rPr/>
      </w:pPr>
      <w:r>
        <w:rPr/>
        <w:t>25/08/2025, ore 09:00, prima meditazione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Le parole chiave: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peccato, conversione, Davide, conseguenze, Dio, speranza, misericordia, Salmi, penitenziale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Riflessioni sulla fragilità umana e il peccato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L</w:t>
      </w:r>
      <w:r>
        <w:rPr/>
        <w:t>a giornata è dedicata alla riflessione sul peccato, partendo dall'esperienza di Davide.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Si analizzeranno le dinamiche del peccato e la fatica nel percorso di conversione, evidenziando aspetti psicologici e la conoscenza dell'animo umano.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peccato è visto come un progressivo allontanarsi da Dio, mentre la conversione è un ritorno a Lui.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Le parole di chiave: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cuore, ascolto, Salmo 37 e 65, fedeltà, silenzio, speranza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Riaprire il Cuore all'Ascolto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cammino spirituale prosegue riaprendo il cuore e la vita all'incontro con il Signore.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La vita cristiana è un cammino di speranza accompagnato dal Signore, basato su una logica di relazione.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Due salmi offrono spunti di riflessione: il Salmo 37 e il Salmo 65.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Salmo 37: Professione di Fede e Fedeltà Divina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Il Salmo 37 è una professione di fede sulla fedeltà di Dio, che non abbandona chi confida in Lui.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Mette a confronto la vita del giusto e del malvagio, esortando a non abbandonare la via del bene.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Il silenzio è un atteggiamento da assumere, un modo di vivere, di affidarsi al Signore.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Salmo 65: Lode al Creatore nel Silenzio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Il Salmo 65 celebra l'opera della creazione, rivelando che Dio è creatore oggi e sempre.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Di fronte all'opera della creazione, è suggerito un atteggiamento di silenzio e lode a Dio.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Il silenzio permette di accogliere la vita come un dono e di sentirsi parte della creazione.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Silenzio, Speranza e Lode: Un Cammino di Vita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Stare in silenzio davanti al Signore e sperare in Lui permette di sperimentare che il silenzio diventa lode.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Il silenzio è uno stile di vita, non solo un tempo o uno spazio, ma un modo di vivere in comunione con Dio.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L'esempio di Gesù che si ritira in un luogo deserto per pregare invita a cercare momenti di silenzio.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erif CJK SC" w:cs="Lohit Devanagari"/>
      <w:color w:val="auto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LibreOffice/7.3.7.2$Linux_X86_64 LibreOffice_project/30$Build-2</Application>
  <AppVersion>15.0000</AppVersion>
  <Pages>1</Pages>
  <Words>345</Words>
  <Characters>1655</Characters>
  <CharactersWithSpaces>1950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2025-08-25T10:03:36Z</dcterms:modified>
  <cp:revision>2</cp:revision>
  <dc:subject/>
  <dc:title/>
</cp:coreProperties>
</file>